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7E80D" w14:textId="1E5545E5" w:rsidR="00D3104C" w:rsidRDefault="00FA69B6" w:rsidP="007A5D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in San Diego County are eligible for federal assistance with damages suffered during flooding between January 21 and 23. Heavy rains resulted in extensive flood damage with </w:t>
      </w:r>
      <w:r w:rsidR="00875A22">
        <w:rPr>
          <w:rFonts w:ascii="Times New Roman" w:hAnsi="Times New Roman" w:cs="Times New Roman"/>
          <w:sz w:val="24"/>
          <w:szCs w:val="24"/>
        </w:rPr>
        <w:t>numerous</w:t>
      </w:r>
      <w:r>
        <w:rPr>
          <w:rFonts w:ascii="Times New Roman" w:hAnsi="Times New Roman" w:cs="Times New Roman"/>
          <w:sz w:val="24"/>
          <w:szCs w:val="24"/>
        </w:rPr>
        <w:t xml:space="preserve"> homes damaged. </w:t>
      </w:r>
      <w:r w:rsidR="00876707">
        <w:rPr>
          <w:rFonts w:ascii="Times New Roman" w:hAnsi="Times New Roman" w:cs="Times New Roman"/>
          <w:sz w:val="24"/>
          <w:szCs w:val="24"/>
        </w:rPr>
        <w:t>FEMA</w:t>
      </w:r>
      <w:r>
        <w:rPr>
          <w:rFonts w:ascii="Times New Roman" w:hAnsi="Times New Roman" w:cs="Times New Roman"/>
          <w:sz w:val="24"/>
          <w:szCs w:val="24"/>
        </w:rPr>
        <w:t>, the California Governor’s Office of Emergency Services and other partners have taken a whole community effort to support recovery. San Diego County residents have until April 19, 2024, to apply for FEMA assistance.</w:t>
      </w:r>
      <w:r w:rsidR="00664761">
        <w:rPr>
          <w:rFonts w:ascii="Times New Roman" w:hAnsi="Times New Roman" w:cs="Times New Roman"/>
          <w:sz w:val="24"/>
          <w:szCs w:val="24"/>
        </w:rPr>
        <w:t xml:space="preserve"> California was granted a second Presidential Major Disaster Declaration</w:t>
      </w:r>
      <w:r w:rsidR="00875A22">
        <w:rPr>
          <w:rFonts w:ascii="Times New Roman" w:hAnsi="Times New Roman" w:cs="Times New Roman"/>
          <w:sz w:val="24"/>
          <w:szCs w:val="24"/>
        </w:rPr>
        <w:t xml:space="preserve"> this year</w:t>
      </w:r>
      <w:r w:rsidR="00664761">
        <w:rPr>
          <w:rFonts w:ascii="Times New Roman" w:hAnsi="Times New Roman" w:cs="Times New Roman"/>
          <w:sz w:val="24"/>
          <w:szCs w:val="24"/>
        </w:rPr>
        <w:t xml:space="preserve"> for February storm recovery. The counties receiving aid include Butte, Glenn, Los Angeles, Monterey, San Luis Obispo, Santa Barbara, Santa Cruz, Sutter and Ventura.</w:t>
      </w:r>
    </w:p>
    <w:p w14:paraId="50F62352" w14:textId="40C1B9CD" w:rsidR="0004108E" w:rsidRDefault="00D3104C" w:rsidP="007A5D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 </w:t>
      </w:r>
      <w:r w:rsidR="00876707">
        <w:rPr>
          <w:rFonts w:ascii="Times New Roman" w:hAnsi="Times New Roman" w:cs="Times New Roman"/>
          <w:sz w:val="24"/>
          <w:szCs w:val="24"/>
        </w:rPr>
        <w:t>received another record-setting request for mitigation funding</w:t>
      </w:r>
      <w:r w:rsidR="00FA69B6">
        <w:rPr>
          <w:rFonts w:ascii="Times New Roman" w:hAnsi="Times New Roman" w:cs="Times New Roman"/>
          <w:sz w:val="24"/>
          <w:szCs w:val="24"/>
        </w:rPr>
        <w:t xml:space="preserve"> this year</w:t>
      </w:r>
      <w:r w:rsidR="00876707">
        <w:rPr>
          <w:rFonts w:ascii="Times New Roman" w:hAnsi="Times New Roman" w:cs="Times New Roman"/>
          <w:sz w:val="24"/>
          <w:szCs w:val="24"/>
        </w:rPr>
        <w:t xml:space="preserve">. Nearly $8 billion in applications through the Building Resilient Infrastructure and Communities </w:t>
      </w:r>
      <w:r w:rsidR="0008473E">
        <w:rPr>
          <w:rFonts w:ascii="Times New Roman" w:hAnsi="Times New Roman" w:cs="Times New Roman"/>
          <w:sz w:val="24"/>
          <w:szCs w:val="24"/>
        </w:rPr>
        <w:t xml:space="preserve">(BRIC) </w:t>
      </w:r>
      <w:r w:rsidR="00876707">
        <w:rPr>
          <w:rFonts w:ascii="Times New Roman" w:hAnsi="Times New Roman" w:cs="Times New Roman"/>
          <w:sz w:val="24"/>
          <w:szCs w:val="24"/>
        </w:rPr>
        <w:t>and Flood Mitigation Assistance</w:t>
      </w:r>
      <w:r w:rsidR="0008473E">
        <w:rPr>
          <w:rFonts w:ascii="Times New Roman" w:hAnsi="Times New Roman" w:cs="Times New Roman"/>
          <w:sz w:val="24"/>
          <w:szCs w:val="24"/>
        </w:rPr>
        <w:t xml:space="preserve"> (FMA)</w:t>
      </w:r>
      <w:r w:rsidR="00876707">
        <w:rPr>
          <w:rFonts w:ascii="Times New Roman" w:hAnsi="Times New Roman" w:cs="Times New Roman"/>
          <w:sz w:val="24"/>
          <w:szCs w:val="24"/>
        </w:rPr>
        <w:t xml:space="preserve"> were received before the application period closed </w:t>
      </w:r>
      <w:r w:rsidR="00FA69B6">
        <w:rPr>
          <w:rFonts w:ascii="Times New Roman" w:hAnsi="Times New Roman" w:cs="Times New Roman"/>
          <w:sz w:val="24"/>
          <w:szCs w:val="24"/>
        </w:rPr>
        <w:t xml:space="preserve">in </w:t>
      </w:r>
      <w:r w:rsidR="00876707">
        <w:rPr>
          <w:rFonts w:ascii="Times New Roman" w:hAnsi="Times New Roman" w:cs="Times New Roman"/>
          <w:sz w:val="24"/>
          <w:szCs w:val="24"/>
        </w:rPr>
        <w:t>February. A total of $1.8 billion is available this fiscal cycle for these programs. FEMA anticipates releasing later this year an update of the applications received.</w:t>
      </w:r>
    </w:p>
    <w:p w14:paraId="3F9E0184" w14:textId="53EF49C8" w:rsidR="00664761" w:rsidRPr="00334705" w:rsidRDefault="00664761" w:rsidP="007A5D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tool to implement the Federal Flood Risk Management Standard (FFRMS) helps agencies </w:t>
      </w:r>
      <w:r w:rsidR="0032395E">
        <w:rPr>
          <w:rFonts w:ascii="Times New Roman" w:hAnsi="Times New Roman" w:cs="Times New Roman"/>
          <w:sz w:val="24"/>
          <w:szCs w:val="24"/>
        </w:rPr>
        <w:t>implement the newer standard</w:t>
      </w:r>
      <w:r>
        <w:rPr>
          <w:rFonts w:ascii="Times New Roman" w:hAnsi="Times New Roman" w:cs="Times New Roman"/>
          <w:sz w:val="24"/>
          <w:szCs w:val="24"/>
        </w:rPr>
        <w:t xml:space="preserve">. The Federal Flood Standard Support Tool uses both the freeboard value approach (FVA) and climate-informed science approach (CISA) to </w:t>
      </w:r>
      <w:r w:rsidR="0032395E">
        <w:rPr>
          <w:rFonts w:ascii="Times New Roman" w:hAnsi="Times New Roman" w:cs="Times New Roman"/>
          <w:sz w:val="24"/>
          <w:szCs w:val="24"/>
        </w:rPr>
        <w:t xml:space="preserve">determine if a federally funded project is in a FFRMS floodplain. The </w:t>
      </w:r>
      <w:hyperlink r:id="rId8" w:history="1">
        <w:r w:rsidR="0032395E" w:rsidRPr="00875A22">
          <w:rPr>
            <w:rStyle w:val="Hyperlink"/>
            <w:rFonts w:ascii="Times New Roman" w:hAnsi="Times New Roman" w:cs="Times New Roman"/>
            <w:sz w:val="24"/>
            <w:szCs w:val="24"/>
          </w:rPr>
          <w:t>Science and Technology Policy office</w:t>
        </w:r>
      </w:hyperlink>
      <w:r w:rsidR="0032395E">
        <w:rPr>
          <w:rFonts w:ascii="Times New Roman" w:hAnsi="Times New Roman" w:cs="Times New Roman"/>
          <w:sz w:val="24"/>
          <w:szCs w:val="24"/>
        </w:rPr>
        <w:t xml:space="preserve"> is accepting comments on the functionality of the support tool by May 28, 2024.</w:t>
      </w:r>
    </w:p>
    <w:p w14:paraId="05C40485" w14:textId="5A17ACC2" w:rsidR="00D3104C" w:rsidRPr="00846429" w:rsidRDefault="00BD3756" w:rsidP="001D0E3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</w:t>
      </w:r>
      <w:r w:rsidR="00D3104C">
        <w:t xml:space="preserve">he updated edition of the National Flood Insurance Program’s Insurance Manual </w:t>
      </w:r>
      <w:r>
        <w:t xml:space="preserve">is </w:t>
      </w:r>
      <w:r w:rsidR="00D3104C">
        <w:t>effective April 1, 2024. The update keeps flood insurance coverage the same as the terms and conditions of the Standard Flood Insurance Policy.</w:t>
      </w:r>
    </w:p>
    <w:p w14:paraId="4DE96B6F" w14:textId="1DE6A833" w:rsidR="00846429" w:rsidRDefault="0008473E" w:rsidP="00DA5D1A">
      <w:pPr>
        <w:pStyle w:val="NormalWeb"/>
        <w:numPr>
          <w:ilvl w:val="0"/>
          <w:numId w:val="1"/>
        </w:numPr>
        <w:spacing w:before="0" w:beforeAutospacing="0" w:after="0" w:afterAutospacing="0"/>
      </w:pPr>
      <w:bookmarkStart w:id="0" w:name="_Hlk79569953"/>
      <w:r>
        <w:t xml:space="preserve">April 1, 2024, </w:t>
      </w:r>
      <w:r w:rsidR="0032395E">
        <w:t xml:space="preserve">also </w:t>
      </w:r>
      <w:r>
        <w:t>marked the 45</w:t>
      </w:r>
      <w:r w:rsidRPr="0008473E">
        <w:rPr>
          <w:vertAlign w:val="superscript"/>
        </w:rPr>
        <w:t>th</w:t>
      </w:r>
      <w:r>
        <w:t xml:space="preserve"> anniversary of FEMA. </w:t>
      </w:r>
      <w:r w:rsidR="0032395E">
        <w:t>T</w:t>
      </w:r>
      <w:r>
        <w:t>he agency continues to evolve and adapt</w:t>
      </w:r>
      <w:r w:rsidR="0032395E">
        <w:t xml:space="preserve"> and</w:t>
      </w:r>
      <w:r>
        <w:t xml:space="preserve"> remain</w:t>
      </w:r>
      <w:r w:rsidR="0032395E">
        <w:t>s</w:t>
      </w:r>
      <w:r>
        <w:t xml:space="preserve"> committed to serving people before, during and after disasters.</w:t>
      </w:r>
    </w:p>
    <w:p w14:paraId="49995BD3" w14:textId="6B25FF86" w:rsidR="00A805A2" w:rsidRPr="00846429" w:rsidRDefault="00575F64" w:rsidP="00DA5D1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46429">
        <w:t>FEMA is currently funded,</w:t>
      </w:r>
      <w:r w:rsidR="00A805A2" w:rsidRPr="00846429">
        <w:t xml:space="preserve"> and </w:t>
      </w:r>
      <w:r w:rsidRPr="00846429">
        <w:t xml:space="preserve">the </w:t>
      </w:r>
      <w:r w:rsidR="00A805A2" w:rsidRPr="00846429">
        <w:t>National Flood Insurance Program</w:t>
      </w:r>
      <w:r w:rsidR="007033CC" w:rsidRPr="00846429">
        <w:t xml:space="preserve"> </w:t>
      </w:r>
      <w:r w:rsidR="00A805A2" w:rsidRPr="00846429">
        <w:t>authorized</w:t>
      </w:r>
      <w:r w:rsidRPr="00846429">
        <w:t>,</w:t>
      </w:r>
      <w:r w:rsidR="00A805A2" w:rsidRPr="00846429">
        <w:t xml:space="preserve"> through </w:t>
      </w:r>
      <w:r w:rsidR="0008473E">
        <w:t>September</w:t>
      </w:r>
      <w:r w:rsidR="00A805A2" w:rsidRPr="00846429">
        <w:t xml:space="preserve"> </w:t>
      </w:r>
      <w:r w:rsidR="0008473E">
        <w:t>30</w:t>
      </w:r>
      <w:r w:rsidR="00A805A2" w:rsidRPr="00846429">
        <w:t>, 202</w:t>
      </w:r>
      <w:r w:rsidRPr="00846429">
        <w:t>4</w:t>
      </w:r>
      <w:r w:rsidR="00A805A2" w:rsidRPr="00846429">
        <w:t>.</w:t>
      </w:r>
    </w:p>
    <w:p w14:paraId="45F03943" w14:textId="77777777" w:rsidR="00AF6276" w:rsidRPr="00846429" w:rsidRDefault="00AF6276" w:rsidP="000F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AF6276" w:rsidRPr="00846429" w:rsidSect="001A59DB">
      <w:head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A10D2" w14:textId="77777777" w:rsidR="006853B5" w:rsidRDefault="006853B5" w:rsidP="006853B5">
      <w:pPr>
        <w:spacing w:after="0" w:line="240" w:lineRule="auto"/>
      </w:pPr>
      <w:r>
        <w:separator/>
      </w:r>
    </w:p>
  </w:endnote>
  <w:endnote w:type="continuationSeparator" w:id="0">
    <w:p w14:paraId="047278AE" w14:textId="77777777" w:rsidR="006853B5" w:rsidRDefault="006853B5" w:rsidP="0068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C3145" w14:textId="77777777" w:rsidR="006853B5" w:rsidRDefault="006853B5" w:rsidP="006853B5">
      <w:pPr>
        <w:spacing w:after="0" w:line="240" w:lineRule="auto"/>
      </w:pPr>
      <w:r>
        <w:separator/>
      </w:r>
    </w:p>
  </w:footnote>
  <w:footnote w:type="continuationSeparator" w:id="0">
    <w:p w14:paraId="0CCAEDDA" w14:textId="77777777" w:rsidR="006853B5" w:rsidRDefault="006853B5" w:rsidP="0068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D70C3" w14:textId="77777777" w:rsidR="00232112" w:rsidRDefault="00232112" w:rsidP="006853B5">
    <w:pPr>
      <w:tabs>
        <w:tab w:val="left" w:pos="4035"/>
      </w:tabs>
      <w:spacing w:after="0" w:line="240" w:lineRule="auto"/>
      <w:rPr>
        <w:rFonts w:ascii="Times New Roman" w:hAnsi="Times New Roman" w:cs="Times New Roman"/>
        <w:color w:val="000000" w:themeColor="text1"/>
        <w:sz w:val="24"/>
        <w:szCs w:val="24"/>
      </w:rPr>
    </w:pPr>
  </w:p>
  <w:p w14:paraId="606E776F" w14:textId="4571872D" w:rsidR="006853B5" w:rsidRPr="007B1714" w:rsidRDefault="00232112" w:rsidP="006853B5">
    <w:pPr>
      <w:tabs>
        <w:tab w:val="left" w:pos="4035"/>
      </w:tabs>
      <w:spacing w:after="0" w:line="240" w:lineRule="auto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Federal Emergency Management Agency (</w:t>
    </w:r>
    <w:r w:rsidR="006853B5" w:rsidRPr="007B1714">
      <w:rPr>
        <w:rFonts w:ascii="Times New Roman" w:hAnsi="Times New Roman" w:cs="Times New Roman"/>
        <w:color w:val="000000" w:themeColor="text1"/>
        <w:sz w:val="24"/>
        <w:szCs w:val="24"/>
      </w:rPr>
      <w:t>FEMA</w:t>
    </w:r>
    <w:r>
      <w:rPr>
        <w:rFonts w:ascii="Times New Roman" w:hAnsi="Times New Roman" w:cs="Times New Roman"/>
        <w:color w:val="000000" w:themeColor="text1"/>
        <w:sz w:val="24"/>
        <w:szCs w:val="24"/>
      </w:rPr>
      <w:t>)</w:t>
    </w:r>
    <w:r w:rsidR="006853B5" w:rsidRPr="007B1714">
      <w:rPr>
        <w:rFonts w:ascii="Times New Roman" w:hAnsi="Times New Roman" w:cs="Times New Roman"/>
        <w:color w:val="000000" w:themeColor="text1"/>
        <w:sz w:val="24"/>
        <w:szCs w:val="24"/>
      </w:rPr>
      <w:t xml:space="preserve"> Updates for FMA </w:t>
    </w:r>
    <w:r w:rsidR="006853B5">
      <w:rPr>
        <w:rFonts w:ascii="Times New Roman" w:hAnsi="Times New Roman" w:cs="Times New Roman"/>
        <w:color w:val="000000" w:themeColor="text1"/>
        <w:sz w:val="24"/>
        <w:szCs w:val="24"/>
      </w:rPr>
      <w:t>Board</w:t>
    </w:r>
    <w:r w:rsidR="006853B5" w:rsidRPr="007B1714">
      <w:rPr>
        <w:rFonts w:ascii="Times New Roman" w:hAnsi="Times New Roman" w:cs="Times New Roman"/>
        <w:color w:val="000000" w:themeColor="text1"/>
        <w:sz w:val="24"/>
        <w:szCs w:val="24"/>
      </w:rPr>
      <w:t xml:space="preserve">: </w:t>
    </w:r>
    <w:r w:rsidR="007A5D02">
      <w:rPr>
        <w:rFonts w:ascii="Times New Roman" w:hAnsi="Times New Roman" w:cs="Times New Roman"/>
        <w:color w:val="000000" w:themeColor="text1"/>
        <w:sz w:val="24"/>
        <w:szCs w:val="24"/>
      </w:rPr>
      <w:t>April</w:t>
    </w:r>
    <w:r w:rsidR="006853B5" w:rsidRPr="007B1714">
      <w:rPr>
        <w:rFonts w:ascii="Times New Roman" w:hAnsi="Times New Roman" w:cs="Times New Roman"/>
        <w:color w:val="000000" w:themeColor="text1"/>
        <w:sz w:val="24"/>
        <w:szCs w:val="24"/>
      </w:rPr>
      <w:t xml:space="preserve"> 202</w:t>
    </w:r>
    <w:r w:rsidR="00575F64">
      <w:rPr>
        <w:rFonts w:ascii="Times New Roman" w:hAnsi="Times New Roman" w:cs="Times New Roman"/>
        <w:color w:val="000000" w:themeColor="text1"/>
        <w:sz w:val="24"/>
        <w:szCs w:val="24"/>
      </w:rPr>
      <w:t>4</w:t>
    </w:r>
  </w:p>
  <w:p w14:paraId="4E981B90" w14:textId="77777777" w:rsidR="006853B5" w:rsidRDefault="0068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11EEF"/>
    <w:multiLevelType w:val="hybridMultilevel"/>
    <w:tmpl w:val="D1F40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D5EA6"/>
    <w:multiLevelType w:val="hybridMultilevel"/>
    <w:tmpl w:val="7A802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C5B8F"/>
    <w:multiLevelType w:val="hybridMultilevel"/>
    <w:tmpl w:val="907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3F61"/>
    <w:multiLevelType w:val="hybridMultilevel"/>
    <w:tmpl w:val="4F0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08F"/>
    <w:multiLevelType w:val="hybridMultilevel"/>
    <w:tmpl w:val="BE1260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C0154E8"/>
    <w:multiLevelType w:val="hybridMultilevel"/>
    <w:tmpl w:val="33F0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8885065">
    <w:abstractNumId w:val="1"/>
  </w:num>
  <w:num w:numId="2" w16cid:durableId="43647535">
    <w:abstractNumId w:val="2"/>
  </w:num>
  <w:num w:numId="3" w16cid:durableId="770902333">
    <w:abstractNumId w:val="0"/>
  </w:num>
  <w:num w:numId="4" w16cid:durableId="2033914206">
    <w:abstractNumId w:val="3"/>
  </w:num>
  <w:num w:numId="5" w16cid:durableId="1901362861">
    <w:abstractNumId w:val="5"/>
  </w:num>
  <w:num w:numId="6" w16cid:durableId="1375232889">
    <w:abstractNumId w:val="4"/>
  </w:num>
  <w:num w:numId="7" w16cid:durableId="15934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AC"/>
    <w:rsid w:val="00001AAC"/>
    <w:rsid w:val="00013BFB"/>
    <w:rsid w:val="00025DC9"/>
    <w:rsid w:val="0002660F"/>
    <w:rsid w:val="00035449"/>
    <w:rsid w:val="00036C7C"/>
    <w:rsid w:val="000375D2"/>
    <w:rsid w:val="0004108E"/>
    <w:rsid w:val="00045341"/>
    <w:rsid w:val="000466E1"/>
    <w:rsid w:val="000478BD"/>
    <w:rsid w:val="00053FF4"/>
    <w:rsid w:val="00054726"/>
    <w:rsid w:val="00057132"/>
    <w:rsid w:val="0006065B"/>
    <w:rsid w:val="00073EB9"/>
    <w:rsid w:val="00077977"/>
    <w:rsid w:val="00080909"/>
    <w:rsid w:val="000809F3"/>
    <w:rsid w:val="00080B4F"/>
    <w:rsid w:val="00080D69"/>
    <w:rsid w:val="00083435"/>
    <w:rsid w:val="0008473E"/>
    <w:rsid w:val="0008723F"/>
    <w:rsid w:val="000A3840"/>
    <w:rsid w:val="000A7D52"/>
    <w:rsid w:val="000C51F9"/>
    <w:rsid w:val="000D6A91"/>
    <w:rsid w:val="000E29A7"/>
    <w:rsid w:val="000E4EE9"/>
    <w:rsid w:val="000E5BB1"/>
    <w:rsid w:val="000F0073"/>
    <w:rsid w:val="000F4461"/>
    <w:rsid w:val="000F459A"/>
    <w:rsid w:val="000F5354"/>
    <w:rsid w:val="0010291D"/>
    <w:rsid w:val="00103700"/>
    <w:rsid w:val="00104890"/>
    <w:rsid w:val="001079DB"/>
    <w:rsid w:val="00107C92"/>
    <w:rsid w:val="001129AA"/>
    <w:rsid w:val="00113933"/>
    <w:rsid w:val="00113DFC"/>
    <w:rsid w:val="00115BAF"/>
    <w:rsid w:val="0012011B"/>
    <w:rsid w:val="00123D23"/>
    <w:rsid w:val="00134B63"/>
    <w:rsid w:val="001412FC"/>
    <w:rsid w:val="001449FD"/>
    <w:rsid w:val="00145391"/>
    <w:rsid w:val="00151D9A"/>
    <w:rsid w:val="0015279B"/>
    <w:rsid w:val="0016073D"/>
    <w:rsid w:val="00161D6E"/>
    <w:rsid w:val="00165BD1"/>
    <w:rsid w:val="00167988"/>
    <w:rsid w:val="00171F21"/>
    <w:rsid w:val="001828C5"/>
    <w:rsid w:val="001863AE"/>
    <w:rsid w:val="0018704A"/>
    <w:rsid w:val="001947B3"/>
    <w:rsid w:val="001A59DB"/>
    <w:rsid w:val="001A731E"/>
    <w:rsid w:val="001C2270"/>
    <w:rsid w:val="001D0E35"/>
    <w:rsid w:val="001D40CB"/>
    <w:rsid w:val="001D4F46"/>
    <w:rsid w:val="001D55AD"/>
    <w:rsid w:val="001E4F2E"/>
    <w:rsid w:val="001F5CEE"/>
    <w:rsid w:val="00203F43"/>
    <w:rsid w:val="002065EF"/>
    <w:rsid w:val="00210689"/>
    <w:rsid w:val="002150A7"/>
    <w:rsid w:val="00221F2E"/>
    <w:rsid w:val="00225F03"/>
    <w:rsid w:val="00232112"/>
    <w:rsid w:val="0023772E"/>
    <w:rsid w:val="002420F7"/>
    <w:rsid w:val="0025301D"/>
    <w:rsid w:val="002556BD"/>
    <w:rsid w:val="0027043D"/>
    <w:rsid w:val="002715A5"/>
    <w:rsid w:val="002733AE"/>
    <w:rsid w:val="00276D4E"/>
    <w:rsid w:val="00281B5C"/>
    <w:rsid w:val="00293D37"/>
    <w:rsid w:val="00295D69"/>
    <w:rsid w:val="00297C23"/>
    <w:rsid w:val="002A083E"/>
    <w:rsid w:val="002C5990"/>
    <w:rsid w:val="002F5B6A"/>
    <w:rsid w:val="00307BA1"/>
    <w:rsid w:val="00313B6D"/>
    <w:rsid w:val="00322BFF"/>
    <w:rsid w:val="0032395E"/>
    <w:rsid w:val="00331578"/>
    <w:rsid w:val="003339C2"/>
    <w:rsid w:val="00334705"/>
    <w:rsid w:val="0033683E"/>
    <w:rsid w:val="00344DBB"/>
    <w:rsid w:val="00376938"/>
    <w:rsid w:val="0037707A"/>
    <w:rsid w:val="0038070A"/>
    <w:rsid w:val="00381F02"/>
    <w:rsid w:val="003A4A04"/>
    <w:rsid w:val="003A72EA"/>
    <w:rsid w:val="003B2139"/>
    <w:rsid w:val="003B54EE"/>
    <w:rsid w:val="003B5CA1"/>
    <w:rsid w:val="003C2570"/>
    <w:rsid w:val="003C37BC"/>
    <w:rsid w:val="003D08C9"/>
    <w:rsid w:val="003D53B2"/>
    <w:rsid w:val="003E036A"/>
    <w:rsid w:val="003E0A07"/>
    <w:rsid w:val="003E4454"/>
    <w:rsid w:val="003F73E1"/>
    <w:rsid w:val="00400F18"/>
    <w:rsid w:val="00412493"/>
    <w:rsid w:val="004211CC"/>
    <w:rsid w:val="00433BF9"/>
    <w:rsid w:val="0044377E"/>
    <w:rsid w:val="00450144"/>
    <w:rsid w:val="004604B5"/>
    <w:rsid w:val="00462F5D"/>
    <w:rsid w:val="00473086"/>
    <w:rsid w:val="00481805"/>
    <w:rsid w:val="0048474B"/>
    <w:rsid w:val="004875ED"/>
    <w:rsid w:val="00495232"/>
    <w:rsid w:val="004A5D32"/>
    <w:rsid w:val="004B3079"/>
    <w:rsid w:val="004B3EBC"/>
    <w:rsid w:val="004B4903"/>
    <w:rsid w:val="004C68E0"/>
    <w:rsid w:val="004D4E15"/>
    <w:rsid w:val="004E7D21"/>
    <w:rsid w:val="004F20C7"/>
    <w:rsid w:val="004F542B"/>
    <w:rsid w:val="004F711C"/>
    <w:rsid w:val="004F7674"/>
    <w:rsid w:val="00502409"/>
    <w:rsid w:val="00502F4A"/>
    <w:rsid w:val="005036CC"/>
    <w:rsid w:val="00505EF9"/>
    <w:rsid w:val="0050650B"/>
    <w:rsid w:val="00522545"/>
    <w:rsid w:val="00531BA2"/>
    <w:rsid w:val="00533339"/>
    <w:rsid w:val="005362D7"/>
    <w:rsid w:val="005402AC"/>
    <w:rsid w:val="00541242"/>
    <w:rsid w:val="00542A35"/>
    <w:rsid w:val="005513F6"/>
    <w:rsid w:val="00570B13"/>
    <w:rsid w:val="00571263"/>
    <w:rsid w:val="005738C2"/>
    <w:rsid w:val="00573A12"/>
    <w:rsid w:val="00575F64"/>
    <w:rsid w:val="00591F2E"/>
    <w:rsid w:val="005964E7"/>
    <w:rsid w:val="005A0551"/>
    <w:rsid w:val="005A0CC4"/>
    <w:rsid w:val="005A382F"/>
    <w:rsid w:val="005A411B"/>
    <w:rsid w:val="005B1680"/>
    <w:rsid w:val="005B19EB"/>
    <w:rsid w:val="005B44EC"/>
    <w:rsid w:val="005B5013"/>
    <w:rsid w:val="005C3BB3"/>
    <w:rsid w:val="005C3BF1"/>
    <w:rsid w:val="005C4943"/>
    <w:rsid w:val="005D5085"/>
    <w:rsid w:val="005E41C5"/>
    <w:rsid w:val="005F0A3A"/>
    <w:rsid w:val="005F0FDC"/>
    <w:rsid w:val="005F23B2"/>
    <w:rsid w:val="005F644A"/>
    <w:rsid w:val="0060087E"/>
    <w:rsid w:val="00604A16"/>
    <w:rsid w:val="0060560D"/>
    <w:rsid w:val="00611B0C"/>
    <w:rsid w:val="00613E5F"/>
    <w:rsid w:val="00614069"/>
    <w:rsid w:val="00616797"/>
    <w:rsid w:val="00621979"/>
    <w:rsid w:val="0062542D"/>
    <w:rsid w:val="006264B4"/>
    <w:rsid w:val="00653A1E"/>
    <w:rsid w:val="006547A1"/>
    <w:rsid w:val="006621BA"/>
    <w:rsid w:val="00664761"/>
    <w:rsid w:val="00670AFE"/>
    <w:rsid w:val="006722CE"/>
    <w:rsid w:val="00675F46"/>
    <w:rsid w:val="00675F5B"/>
    <w:rsid w:val="00676884"/>
    <w:rsid w:val="00681A92"/>
    <w:rsid w:val="00682EA6"/>
    <w:rsid w:val="006853B5"/>
    <w:rsid w:val="00692E88"/>
    <w:rsid w:val="006950EF"/>
    <w:rsid w:val="006A6B94"/>
    <w:rsid w:val="006B24C1"/>
    <w:rsid w:val="006B60CE"/>
    <w:rsid w:val="006C2CD2"/>
    <w:rsid w:val="006D16BA"/>
    <w:rsid w:val="006D2B9C"/>
    <w:rsid w:val="006D7E9D"/>
    <w:rsid w:val="006E0216"/>
    <w:rsid w:val="006E639D"/>
    <w:rsid w:val="006F072A"/>
    <w:rsid w:val="006F4F56"/>
    <w:rsid w:val="007033CC"/>
    <w:rsid w:val="007042C3"/>
    <w:rsid w:val="007044FA"/>
    <w:rsid w:val="007175BF"/>
    <w:rsid w:val="007216CD"/>
    <w:rsid w:val="0073536A"/>
    <w:rsid w:val="0074123F"/>
    <w:rsid w:val="0074418D"/>
    <w:rsid w:val="00745A43"/>
    <w:rsid w:val="00750C0B"/>
    <w:rsid w:val="00753D56"/>
    <w:rsid w:val="0075725D"/>
    <w:rsid w:val="007578F1"/>
    <w:rsid w:val="00760357"/>
    <w:rsid w:val="0076082E"/>
    <w:rsid w:val="00761E13"/>
    <w:rsid w:val="00770550"/>
    <w:rsid w:val="007732A9"/>
    <w:rsid w:val="00774384"/>
    <w:rsid w:val="007768C0"/>
    <w:rsid w:val="00781A3C"/>
    <w:rsid w:val="0078690D"/>
    <w:rsid w:val="00795C01"/>
    <w:rsid w:val="00797564"/>
    <w:rsid w:val="007A0CE7"/>
    <w:rsid w:val="007A370C"/>
    <w:rsid w:val="007A5D02"/>
    <w:rsid w:val="007B1714"/>
    <w:rsid w:val="007B26C9"/>
    <w:rsid w:val="007B57F6"/>
    <w:rsid w:val="007B74C2"/>
    <w:rsid w:val="007D5CBB"/>
    <w:rsid w:val="007D673A"/>
    <w:rsid w:val="007E526C"/>
    <w:rsid w:val="007F35DB"/>
    <w:rsid w:val="007F627E"/>
    <w:rsid w:val="007F79F7"/>
    <w:rsid w:val="008009C1"/>
    <w:rsid w:val="008173BD"/>
    <w:rsid w:val="0082754F"/>
    <w:rsid w:val="00832DD9"/>
    <w:rsid w:val="008459F2"/>
    <w:rsid w:val="00846429"/>
    <w:rsid w:val="008613C4"/>
    <w:rsid w:val="0086386E"/>
    <w:rsid w:val="00864176"/>
    <w:rsid w:val="00875A22"/>
    <w:rsid w:val="00876707"/>
    <w:rsid w:val="00891DEF"/>
    <w:rsid w:val="00894B20"/>
    <w:rsid w:val="00897ED7"/>
    <w:rsid w:val="008A014F"/>
    <w:rsid w:val="008A5CF3"/>
    <w:rsid w:val="008B3B35"/>
    <w:rsid w:val="008B541B"/>
    <w:rsid w:val="008C3FCF"/>
    <w:rsid w:val="008D0AAA"/>
    <w:rsid w:val="008D11CD"/>
    <w:rsid w:val="008D5EEA"/>
    <w:rsid w:val="008E1D26"/>
    <w:rsid w:val="008E3D31"/>
    <w:rsid w:val="008E7A53"/>
    <w:rsid w:val="008F3182"/>
    <w:rsid w:val="008F5ACC"/>
    <w:rsid w:val="0090262D"/>
    <w:rsid w:val="009178B3"/>
    <w:rsid w:val="00921AB6"/>
    <w:rsid w:val="00924394"/>
    <w:rsid w:val="009340BC"/>
    <w:rsid w:val="009372AA"/>
    <w:rsid w:val="009400EE"/>
    <w:rsid w:val="009401A9"/>
    <w:rsid w:val="00951AF8"/>
    <w:rsid w:val="00952A4D"/>
    <w:rsid w:val="009624E5"/>
    <w:rsid w:val="009628A7"/>
    <w:rsid w:val="0096572B"/>
    <w:rsid w:val="00974EE6"/>
    <w:rsid w:val="009852D6"/>
    <w:rsid w:val="00987759"/>
    <w:rsid w:val="009945D4"/>
    <w:rsid w:val="009A00A0"/>
    <w:rsid w:val="009A1A88"/>
    <w:rsid w:val="009B05AC"/>
    <w:rsid w:val="009B2F01"/>
    <w:rsid w:val="009B5DF4"/>
    <w:rsid w:val="009C2101"/>
    <w:rsid w:val="009C70C1"/>
    <w:rsid w:val="009D0A65"/>
    <w:rsid w:val="009D2146"/>
    <w:rsid w:val="009D35F3"/>
    <w:rsid w:val="009E4F72"/>
    <w:rsid w:val="009E71B2"/>
    <w:rsid w:val="00A0258C"/>
    <w:rsid w:val="00A04BA7"/>
    <w:rsid w:val="00A113FE"/>
    <w:rsid w:val="00A20F18"/>
    <w:rsid w:val="00A22825"/>
    <w:rsid w:val="00A302AD"/>
    <w:rsid w:val="00A36786"/>
    <w:rsid w:val="00A66DC6"/>
    <w:rsid w:val="00A67F7A"/>
    <w:rsid w:val="00A72F07"/>
    <w:rsid w:val="00A805A2"/>
    <w:rsid w:val="00A87C68"/>
    <w:rsid w:val="00A87EDA"/>
    <w:rsid w:val="00A9137F"/>
    <w:rsid w:val="00A9299D"/>
    <w:rsid w:val="00A95481"/>
    <w:rsid w:val="00A97D8A"/>
    <w:rsid w:val="00AC6187"/>
    <w:rsid w:val="00AC7B4A"/>
    <w:rsid w:val="00AD110A"/>
    <w:rsid w:val="00AD247E"/>
    <w:rsid w:val="00AD4906"/>
    <w:rsid w:val="00AE058E"/>
    <w:rsid w:val="00AE5798"/>
    <w:rsid w:val="00AE6E5E"/>
    <w:rsid w:val="00AF27F6"/>
    <w:rsid w:val="00AF4F98"/>
    <w:rsid w:val="00AF6276"/>
    <w:rsid w:val="00AF7767"/>
    <w:rsid w:val="00B00F32"/>
    <w:rsid w:val="00B12D16"/>
    <w:rsid w:val="00B24858"/>
    <w:rsid w:val="00B40A9E"/>
    <w:rsid w:val="00B529EE"/>
    <w:rsid w:val="00B74BA6"/>
    <w:rsid w:val="00B76B12"/>
    <w:rsid w:val="00B826DB"/>
    <w:rsid w:val="00B83152"/>
    <w:rsid w:val="00B84125"/>
    <w:rsid w:val="00B97F9F"/>
    <w:rsid w:val="00BA2603"/>
    <w:rsid w:val="00BA505B"/>
    <w:rsid w:val="00BA612A"/>
    <w:rsid w:val="00BC59DB"/>
    <w:rsid w:val="00BD3756"/>
    <w:rsid w:val="00BE0147"/>
    <w:rsid w:val="00BE0EC2"/>
    <w:rsid w:val="00BE7A6A"/>
    <w:rsid w:val="00C01AB6"/>
    <w:rsid w:val="00C06C2F"/>
    <w:rsid w:val="00C17232"/>
    <w:rsid w:val="00C2018D"/>
    <w:rsid w:val="00C25001"/>
    <w:rsid w:val="00C279F2"/>
    <w:rsid w:val="00C27FDE"/>
    <w:rsid w:val="00C30E3E"/>
    <w:rsid w:val="00C526C0"/>
    <w:rsid w:val="00C5768A"/>
    <w:rsid w:val="00C75B8E"/>
    <w:rsid w:val="00C80032"/>
    <w:rsid w:val="00C835F4"/>
    <w:rsid w:val="00C958E2"/>
    <w:rsid w:val="00CA29F0"/>
    <w:rsid w:val="00CA3696"/>
    <w:rsid w:val="00CB37DF"/>
    <w:rsid w:val="00CB48CD"/>
    <w:rsid w:val="00CD05A8"/>
    <w:rsid w:val="00CD262A"/>
    <w:rsid w:val="00CD2B29"/>
    <w:rsid w:val="00CD4A71"/>
    <w:rsid w:val="00CD5B44"/>
    <w:rsid w:val="00CE14AE"/>
    <w:rsid w:val="00CF28BA"/>
    <w:rsid w:val="00CF5920"/>
    <w:rsid w:val="00CF637B"/>
    <w:rsid w:val="00CF6EEF"/>
    <w:rsid w:val="00CF70BA"/>
    <w:rsid w:val="00D05D5F"/>
    <w:rsid w:val="00D06829"/>
    <w:rsid w:val="00D110AA"/>
    <w:rsid w:val="00D168B6"/>
    <w:rsid w:val="00D16A0A"/>
    <w:rsid w:val="00D237D1"/>
    <w:rsid w:val="00D3104C"/>
    <w:rsid w:val="00D32DD7"/>
    <w:rsid w:val="00D33C40"/>
    <w:rsid w:val="00D361D3"/>
    <w:rsid w:val="00D56F3F"/>
    <w:rsid w:val="00D571C0"/>
    <w:rsid w:val="00D608E5"/>
    <w:rsid w:val="00D740F8"/>
    <w:rsid w:val="00D76C52"/>
    <w:rsid w:val="00D776CE"/>
    <w:rsid w:val="00D928B4"/>
    <w:rsid w:val="00DA56F4"/>
    <w:rsid w:val="00DA5B10"/>
    <w:rsid w:val="00DA5D1A"/>
    <w:rsid w:val="00DA6B9E"/>
    <w:rsid w:val="00DD23F5"/>
    <w:rsid w:val="00DD357A"/>
    <w:rsid w:val="00DD3928"/>
    <w:rsid w:val="00DD3931"/>
    <w:rsid w:val="00DD4157"/>
    <w:rsid w:val="00DD4546"/>
    <w:rsid w:val="00DD69CD"/>
    <w:rsid w:val="00DE2B07"/>
    <w:rsid w:val="00DF3FB0"/>
    <w:rsid w:val="00E223CF"/>
    <w:rsid w:val="00E27FE6"/>
    <w:rsid w:val="00E3299B"/>
    <w:rsid w:val="00E5611A"/>
    <w:rsid w:val="00E974AC"/>
    <w:rsid w:val="00EA5D96"/>
    <w:rsid w:val="00EA75BD"/>
    <w:rsid w:val="00EB3EEC"/>
    <w:rsid w:val="00EC3ED7"/>
    <w:rsid w:val="00EC5246"/>
    <w:rsid w:val="00ED125E"/>
    <w:rsid w:val="00ED3A94"/>
    <w:rsid w:val="00EE17B5"/>
    <w:rsid w:val="00EE76C7"/>
    <w:rsid w:val="00EF5F15"/>
    <w:rsid w:val="00EF6426"/>
    <w:rsid w:val="00F004E6"/>
    <w:rsid w:val="00F043FE"/>
    <w:rsid w:val="00F2655D"/>
    <w:rsid w:val="00F301A3"/>
    <w:rsid w:val="00F331E1"/>
    <w:rsid w:val="00F37C39"/>
    <w:rsid w:val="00F4025F"/>
    <w:rsid w:val="00F43F61"/>
    <w:rsid w:val="00F52705"/>
    <w:rsid w:val="00F62144"/>
    <w:rsid w:val="00F63136"/>
    <w:rsid w:val="00F662D5"/>
    <w:rsid w:val="00F738A6"/>
    <w:rsid w:val="00F91505"/>
    <w:rsid w:val="00F91A4A"/>
    <w:rsid w:val="00F921A4"/>
    <w:rsid w:val="00F95373"/>
    <w:rsid w:val="00F95E49"/>
    <w:rsid w:val="00FA0395"/>
    <w:rsid w:val="00FA050A"/>
    <w:rsid w:val="00FA69B6"/>
    <w:rsid w:val="00FB0C68"/>
    <w:rsid w:val="00FB2F68"/>
    <w:rsid w:val="00FB5CEC"/>
    <w:rsid w:val="00FC5E72"/>
    <w:rsid w:val="00FD4608"/>
    <w:rsid w:val="00FD5D32"/>
    <w:rsid w:val="00FE23B2"/>
    <w:rsid w:val="00FE5C14"/>
    <w:rsid w:val="00FF3ADB"/>
    <w:rsid w:val="00FF4B0A"/>
    <w:rsid w:val="00FF4BC3"/>
    <w:rsid w:val="00FF652F"/>
    <w:rsid w:val="00FF6B7B"/>
    <w:rsid w:val="00FF775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2D8B"/>
  <w15:docId w15:val="{BF1F0072-39B8-4326-99AE-5DA67AE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AC"/>
    <w:pPr>
      <w:ind w:left="720"/>
      <w:contextualSpacing/>
    </w:pPr>
  </w:style>
  <w:style w:type="paragraph" w:customStyle="1" w:styleId="BodyText1">
    <w:name w:val="Body Text1"/>
    <w:basedOn w:val="Normal"/>
    <w:uiPriority w:val="99"/>
    <w:rsid w:val="008C3F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BC3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13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D40CB"/>
    <w:rPr>
      <w:i w:val="0"/>
      <w:iCs w:val="0"/>
      <w:color w:val="0E774A"/>
    </w:rPr>
  </w:style>
  <w:style w:type="paragraph" w:customStyle="1" w:styleId="body1">
    <w:name w:val="body1"/>
    <w:basedOn w:val="Normal"/>
    <w:rsid w:val="00533339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232"/>
    <w:rPr>
      <w:i/>
      <w:iCs/>
    </w:rPr>
  </w:style>
  <w:style w:type="character" w:customStyle="1" w:styleId="txt111">
    <w:name w:val="txt111"/>
    <w:basedOn w:val="DefaultParagraphFont"/>
    <w:rsid w:val="00897ED7"/>
    <w:rPr>
      <w:rFonts w:ascii="Arial" w:hAnsi="Arial" w:cs="Arial" w:hint="default"/>
      <w:sz w:val="17"/>
      <w:szCs w:val="17"/>
    </w:rPr>
  </w:style>
  <w:style w:type="character" w:customStyle="1" w:styleId="text11">
    <w:name w:val="text11"/>
    <w:basedOn w:val="DefaultParagraphFont"/>
    <w:rsid w:val="00CD4A71"/>
  </w:style>
  <w:style w:type="paragraph" w:customStyle="1" w:styleId="gdp">
    <w:name w:val="gd_p"/>
    <w:basedOn w:val="Normal"/>
    <w:rsid w:val="00EC3ED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C2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5990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5990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05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B5"/>
  </w:style>
  <w:style w:type="paragraph" w:styleId="Footer">
    <w:name w:val="footer"/>
    <w:basedOn w:val="Normal"/>
    <w:link w:val="FooterChar"/>
    <w:uiPriority w:val="99"/>
    <w:unhideWhenUsed/>
    <w:rsid w:val="0068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B5"/>
  </w:style>
  <w:style w:type="character" w:customStyle="1" w:styleId="ui-provider">
    <w:name w:val="ui-provider"/>
    <w:basedOn w:val="DefaultParagraphFont"/>
    <w:rsid w:val="0007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20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9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ostp/news-updates/2024/04/11/a-new-tool-to-help-plan-for-and-protect-against-floo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823-7F35-4AEA-80D2-1DF9BCA2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esimmon3</dc:creator>
  <cp:lastModifiedBy>Dennie Booth</cp:lastModifiedBy>
  <cp:revision>2</cp:revision>
  <cp:lastPrinted>2019-07-09T21:44:00Z</cp:lastPrinted>
  <dcterms:created xsi:type="dcterms:W3CDTF">2024-04-18T14:28:00Z</dcterms:created>
  <dcterms:modified xsi:type="dcterms:W3CDTF">2024-04-18T14:28:00Z</dcterms:modified>
</cp:coreProperties>
</file>